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20" w:rsidRDefault="005476A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欢迎您参加第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25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届</w:t>
      </w:r>
      <w:r w:rsidR="00BD54A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北京</w:t>
      </w:r>
      <w:r w:rsidR="00BD54AC" w:rsidRPr="00BD54A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·</w:t>
      </w:r>
      <w:r w:rsidR="00BD54A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埃森焊接与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切割展览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会</w:t>
      </w:r>
    </w:p>
    <w:p w:rsidR="00631820" w:rsidRDefault="005476AF">
      <w:pPr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展览会组委会指定</w:t>
      </w:r>
      <w:r>
        <w:rPr>
          <w:rFonts w:asciiTheme="majorEastAsia" w:eastAsiaTheme="majorEastAsia" w:hAnsiTheme="majorEastAsia" w:cstheme="majorEastAsia" w:hint="eastAsia"/>
          <w:szCs w:val="21"/>
        </w:rPr>
        <w:t>北京时代龙马国际会议展览有限公司上海分公司</w:t>
      </w:r>
      <w:r>
        <w:rPr>
          <w:rFonts w:asciiTheme="majorEastAsia" w:eastAsiaTheme="majorEastAsia" w:hAnsiTheme="majorEastAsia" w:cstheme="majorEastAsia" w:hint="eastAsia"/>
          <w:szCs w:val="21"/>
        </w:rPr>
        <w:t>为酒店服务供应商，负责展会期间酒店住宿接待工作、车辆、会议场地、人员服务、旅游等相关服务，并在上海新国际博览中心附近提供了以下酒店：</w:t>
      </w:r>
      <w:bookmarkStart w:id="0" w:name="_GoBack"/>
      <w:bookmarkEnd w:id="0"/>
    </w:p>
    <w:tbl>
      <w:tblPr>
        <w:tblpPr w:leftFromText="180" w:rightFromText="180" w:vertAnchor="page" w:horzAnchor="page" w:tblpXSpec="center" w:tblpY="3258"/>
        <w:tblOverlap w:val="never"/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666"/>
        <w:gridCol w:w="2168"/>
        <w:gridCol w:w="1361"/>
        <w:gridCol w:w="1450"/>
        <w:gridCol w:w="1744"/>
      </w:tblGrid>
      <w:tr w:rsidR="00631820" w:rsidTr="00BD54AC">
        <w:trPr>
          <w:trHeight w:val="910"/>
          <w:jc w:val="center"/>
        </w:trPr>
        <w:tc>
          <w:tcPr>
            <w:tcW w:w="1585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631820" w:rsidRDefault="005476AF">
            <w:pPr>
              <w:spacing w:before="100" w:beforeAutospacing="1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酒店名称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631820" w:rsidRDefault="005476AF">
            <w:pPr>
              <w:tabs>
                <w:tab w:val="left" w:pos="252"/>
                <w:tab w:val="center" w:pos="845"/>
              </w:tabs>
              <w:spacing w:before="100" w:beforeAutospacing="1"/>
              <w:jc w:val="left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星级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631820" w:rsidRDefault="005476AF">
            <w:pPr>
              <w:tabs>
                <w:tab w:val="left" w:pos="252"/>
                <w:tab w:val="center" w:pos="845"/>
              </w:tabs>
              <w:spacing w:before="100" w:beforeAutospacing="1"/>
              <w:jc w:val="left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ab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ab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酒店地址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631820" w:rsidRDefault="005476AF">
            <w:pPr>
              <w:spacing w:before="100" w:beforeAutospacing="1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房型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631820" w:rsidRDefault="005476AF">
            <w:pPr>
              <w:spacing w:before="100" w:beforeAutospacing="1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每晚房价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631820" w:rsidRDefault="005476AF">
            <w:pPr>
              <w:spacing w:before="100" w:beforeAutospacing="1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距展馆距离</w:t>
            </w:r>
          </w:p>
        </w:tc>
      </w:tr>
      <w:tr w:rsidR="00631820" w:rsidTr="00BD54AC">
        <w:trPr>
          <w:trHeight w:val="1317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上海丽昂豪生大酒店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tabs>
                <w:tab w:val="left" w:pos="449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五星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tabs>
                <w:tab w:val="left" w:pos="449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tabs>
                <w:tab w:val="left" w:pos="449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金新路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99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658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1167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东锦江希尔顿酒店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五星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锦康路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356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628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2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上海浦东丽晟假日酒店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四星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环龙路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588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2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开元曼居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上海浦东大道店）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四星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浦东大道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2333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438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2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碧悦城市酒店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上海金桥店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四星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金台路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222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428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2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碧悦城市酒店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上海巨峰店）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四星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巨峰路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279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388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96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上海金桥中心智选假日酒店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三星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金桥路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1359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438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1035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宜必思酒店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上海世博路地铁站店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商务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成山路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800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408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3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勇丞酒店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（上海周浦万达店）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201" w:hangingChars="100" w:hanging="201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商务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周浦镇上南路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7775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号神月大厦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298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3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勇丞酒店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上海新国际博览中心店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201" w:hangingChars="100" w:hanging="201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商务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康桥镇康沈路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1011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278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3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莫泰酒店（上海浦东大道店）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 w:rsidP="00BD54AC">
            <w:pPr>
              <w:ind w:left="201" w:hangingChars="100" w:hanging="201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经济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浦东大道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2330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348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 w:rsidP="00BD54AC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3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如家商旅酒店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上海陆家嘴八佰伴店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 w:rsidP="00BD54AC">
            <w:pPr>
              <w:ind w:left="201" w:hangingChars="100" w:hanging="201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经济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浦东南路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1860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368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 w:rsidP="00BD54AC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  <w:tr w:rsidR="00631820" w:rsidTr="00BD54AC">
        <w:trPr>
          <w:trHeight w:val="839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如家酒店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上海国际度假区秀沿路地铁站店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:rsidR="00631820" w:rsidRDefault="005476AF" w:rsidP="00BD54AC">
            <w:pPr>
              <w:ind w:left="201" w:hangingChars="100" w:hanging="201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经济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上海</w:t>
            </w:r>
          </w:p>
          <w:p w:rsidR="00631820" w:rsidRDefault="005476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秀沿路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2495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大床房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338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元</w:t>
            </w:r>
          </w:p>
          <w:p w:rsidR="00631820" w:rsidRDefault="005476AF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含早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含班车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 w:rsidR="00631820" w:rsidRDefault="005476AF" w:rsidP="00BD54AC">
            <w:pPr>
              <w:ind w:left="402" w:hangingChars="200" w:hanging="402"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车程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0"/>
                <w:sz w:val="20"/>
                <w:szCs w:val="20"/>
              </w:rPr>
              <w:t>分钟</w:t>
            </w:r>
          </w:p>
        </w:tc>
      </w:tr>
    </w:tbl>
    <w:p w:rsidR="00631820" w:rsidRDefault="00631820">
      <w:pPr>
        <w:pStyle w:val="a6"/>
        <w:spacing w:before="0" w:after="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631820" w:rsidRDefault="005476AF">
      <w:pPr>
        <w:pStyle w:val="a6"/>
        <w:spacing w:before="0" w:after="0"/>
        <w:jc w:val="both"/>
        <w:rPr>
          <w:rFonts w:asciiTheme="majorEastAsia" w:eastAsiaTheme="majorEastAsia" w:hAnsiTheme="majorEastAsia" w:cstheme="majorEastAsia"/>
          <w:b w:val="0"/>
          <w:bCs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酒店预订提示：</w:t>
      </w:r>
    </w:p>
    <w:p w:rsidR="00631820" w:rsidRDefault="005476AF">
      <w:pPr>
        <w:pStyle w:val="a6"/>
        <w:spacing w:before="0" w:after="0" w:line="360" w:lineRule="auto"/>
        <w:jc w:val="both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、以上价格都包括服务费和早餐。</w:t>
      </w:r>
    </w:p>
    <w:p w:rsidR="00631820" w:rsidRDefault="005476AF">
      <w:pPr>
        <w:pStyle w:val="a6"/>
        <w:spacing w:before="0" w:after="0" w:line="360" w:lineRule="auto"/>
        <w:jc w:val="both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、请将以上表格填写后，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邮件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至我公司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huangsaiju@sdlm.cn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。</w:t>
      </w:r>
    </w:p>
    <w:p w:rsidR="00631820" w:rsidRDefault="005476AF">
      <w:pPr>
        <w:pStyle w:val="a6"/>
        <w:spacing w:before="0" w:after="0" w:line="360" w:lineRule="auto"/>
        <w:jc w:val="both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、我们将会在收到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邮件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24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小时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内，给您回复酒店确认单，收到确认单后，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请按时完成预定款支付，收到预定款后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预订酒店成功。</w:t>
      </w:r>
    </w:p>
    <w:p w:rsidR="00631820" w:rsidRDefault="005476AF">
      <w:pPr>
        <w:pStyle w:val="a6"/>
        <w:spacing w:before="0" w:after="0" w:line="360" w:lineRule="auto"/>
        <w:jc w:val="both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、预订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的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酒店需要预付全款，所以如贵公司预订这些酒店，请先确定好房间数量和入住离店日期。</w:t>
      </w:r>
    </w:p>
    <w:p w:rsidR="00631820" w:rsidRDefault="005476AF">
      <w:pPr>
        <w:pStyle w:val="a6"/>
        <w:spacing w:before="0" w:after="0" w:line="360" w:lineRule="auto"/>
        <w:jc w:val="both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、由于各酒店房间数量有限，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报价单有效期至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20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日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。</w:t>
      </w:r>
    </w:p>
    <w:p w:rsidR="00631820" w:rsidRDefault="005476AF">
      <w:pPr>
        <w:pStyle w:val="a6"/>
        <w:spacing w:before="0" w:after="0" w:line="360" w:lineRule="auto"/>
        <w:jc w:val="left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、若您有其他酒店住宿需求，我们也将竭诚为您服务。</w:t>
      </w:r>
    </w:p>
    <w:p w:rsidR="00631820" w:rsidRDefault="00631820">
      <w:pPr>
        <w:spacing w:line="0" w:lineRule="atLeas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其他服务预订</w:t>
      </w:r>
    </w:p>
    <w:p w:rsidR="00631820" w:rsidRDefault="005476AF">
      <w:pPr>
        <w:spacing w:line="0" w:lineRule="atLeas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1</w:t>
      </w:r>
      <w:r>
        <w:rPr>
          <w:rFonts w:asciiTheme="majorEastAsia" w:eastAsiaTheme="majorEastAsia" w:hAnsiTheme="majorEastAsia" w:cstheme="majorEastAsia" w:hint="eastAsia"/>
          <w:sz w:val="24"/>
        </w:rPr>
        <w:t>、人员服务：可提供翻译、礼仪、展台工作人员等服务</w:t>
      </w:r>
    </w:p>
    <w:p w:rsidR="00631820" w:rsidRDefault="005476AF">
      <w:pPr>
        <w:spacing w:line="0" w:lineRule="atLeas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2</w:t>
      </w:r>
      <w:r>
        <w:rPr>
          <w:rFonts w:asciiTheme="majorEastAsia" w:eastAsiaTheme="majorEastAsia" w:hAnsiTheme="majorEastAsia" w:cstheme="majorEastAsia" w:hint="eastAsia"/>
          <w:sz w:val="24"/>
        </w:rPr>
        <w:t>、租车服务：可提供高级轿车、各类型客车等车辆服务</w:t>
      </w:r>
    </w:p>
    <w:p w:rsidR="00631820" w:rsidRDefault="005476AF">
      <w:pPr>
        <w:spacing w:line="0" w:lineRule="atLeas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3</w:t>
      </w:r>
      <w:r>
        <w:rPr>
          <w:rFonts w:asciiTheme="majorEastAsia" w:eastAsiaTheme="majorEastAsia" w:hAnsiTheme="majorEastAsia" w:cstheme="majorEastAsia" w:hint="eastAsia"/>
          <w:sz w:val="24"/>
        </w:rPr>
        <w:t>、会员服务：可提供会议、宴会等全方位会议服务</w:t>
      </w:r>
    </w:p>
    <w:p w:rsidR="00631820" w:rsidRDefault="005476AF">
      <w:pPr>
        <w:spacing w:line="0" w:lineRule="atLeast"/>
        <w:ind w:firstLineChars="300" w:firstLine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如有任何需求请来电咨询：黄小姐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18917975693/021-64705398</w:t>
      </w:r>
    </w:p>
    <w:p w:rsidR="00631820" w:rsidRDefault="005476AF">
      <w:pPr>
        <w:pStyle w:val="a6"/>
        <w:spacing w:before="0" w:after="0"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br w:type="page"/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酒店订房确认回执表</w:t>
      </w:r>
    </w:p>
    <w:p w:rsidR="00631820" w:rsidRDefault="005476AF">
      <w:pPr>
        <w:jc w:val="left"/>
        <w:rPr>
          <w:rFonts w:asciiTheme="majorEastAsia" w:eastAsiaTheme="majorEastAsia" w:hAnsiTheme="majorEastAsia" w:cstheme="majorEastAsia"/>
          <w:szCs w:val="21"/>
          <w:u w:val="single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单位名称参观参展展位号单位地址联系人姓名</w:t>
      </w:r>
    </w:p>
    <w:p w:rsidR="00631820" w:rsidRDefault="005476AF">
      <w:pPr>
        <w:jc w:val="left"/>
        <w:rPr>
          <w:rFonts w:asciiTheme="majorEastAsia" w:eastAsiaTheme="majorEastAsia" w:hAnsiTheme="majorEastAsia" w:cstheme="majorEastAsia"/>
          <w:szCs w:val="21"/>
          <w:u w:val="single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单位电话单位传真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szCs w:val="21"/>
        </w:rPr>
        <w:t>联系人手机</w:t>
      </w:r>
    </w:p>
    <w:p w:rsidR="00631820" w:rsidRDefault="005476AF">
      <w:pPr>
        <w:jc w:val="left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邮箱地址</w:t>
      </w:r>
    </w:p>
    <w:tbl>
      <w:tblPr>
        <w:tblpPr w:leftFromText="180" w:rightFromText="180" w:vertAnchor="text" w:horzAnchor="page" w:tblpX="1192" w:tblpY="171"/>
        <w:tblOverlap w:val="never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628"/>
        <w:gridCol w:w="1260"/>
        <w:gridCol w:w="1369"/>
        <w:gridCol w:w="1365"/>
        <w:gridCol w:w="1365"/>
        <w:gridCol w:w="1365"/>
      </w:tblGrid>
      <w:tr w:rsidR="00631820">
        <w:trPr>
          <w:cantSplit/>
          <w:trHeight w:val="451"/>
        </w:trPr>
        <w:tc>
          <w:tcPr>
            <w:tcW w:w="1470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酒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店名称</w:t>
            </w:r>
          </w:p>
        </w:tc>
        <w:tc>
          <w:tcPr>
            <w:tcW w:w="1628" w:type="dxa"/>
            <w:vAlign w:val="center"/>
          </w:tcPr>
          <w:p w:rsidR="00631820" w:rsidRDefault="005476AF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入住人姓名</w:t>
            </w:r>
          </w:p>
        </w:tc>
        <w:tc>
          <w:tcPr>
            <w:tcW w:w="1260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房间类型</w:t>
            </w:r>
          </w:p>
        </w:tc>
        <w:tc>
          <w:tcPr>
            <w:tcW w:w="1369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房间数量</w:t>
            </w:r>
          </w:p>
        </w:tc>
        <w:tc>
          <w:tcPr>
            <w:tcW w:w="1365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房间价格</w:t>
            </w:r>
          </w:p>
        </w:tc>
        <w:tc>
          <w:tcPr>
            <w:tcW w:w="1365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入住日期</w:t>
            </w:r>
          </w:p>
        </w:tc>
        <w:tc>
          <w:tcPr>
            <w:tcW w:w="1365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离店日期</w:t>
            </w:r>
          </w:p>
        </w:tc>
      </w:tr>
      <w:tr w:rsidR="00631820">
        <w:trPr>
          <w:cantSplit/>
          <w:trHeight w:val="389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39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39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39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39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39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39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43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277"/>
        </w:trPr>
        <w:tc>
          <w:tcPr>
            <w:tcW w:w="147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31820">
        <w:trPr>
          <w:cantSplit/>
          <w:trHeight w:val="379"/>
        </w:trPr>
        <w:tc>
          <w:tcPr>
            <w:tcW w:w="3098" w:type="dxa"/>
            <w:gridSpan w:val="2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接机时间</w:t>
            </w:r>
          </w:p>
        </w:tc>
        <w:tc>
          <w:tcPr>
            <w:tcW w:w="1260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航班号</w:t>
            </w:r>
          </w:p>
        </w:tc>
        <w:tc>
          <w:tcPr>
            <w:tcW w:w="1369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接机车型</w:t>
            </w:r>
          </w:p>
        </w:tc>
        <w:tc>
          <w:tcPr>
            <w:tcW w:w="1365" w:type="dxa"/>
            <w:vAlign w:val="center"/>
          </w:tcPr>
          <w:p w:rsidR="00631820" w:rsidRDefault="005476AF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人数</w:t>
            </w:r>
          </w:p>
        </w:tc>
        <w:tc>
          <w:tcPr>
            <w:tcW w:w="2730" w:type="dxa"/>
            <w:gridSpan w:val="2"/>
            <w:vAlign w:val="center"/>
          </w:tcPr>
          <w:p w:rsidR="00631820" w:rsidRDefault="005476AF">
            <w:pPr>
              <w:spacing w:line="0" w:lineRule="atLeast"/>
              <w:ind w:firstLineChars="300" w:firstLine="723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备注</w:t>
            </w:r>
          </w:p>
        </w:tc>
      </w:tr>
      <w:tr w:rsidR="00631820">
        <w:trPr>
          <w:cantSplit/>
          <w:trHeight w:val="343"/>
        </w:trPr>
        <w:tc>
          <w:tcPr>
            <w:tcW w:w="3098" w:type="dxa"/>
            <w:gridSpan w:val="2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631820" w:rsidRDefault="0063182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631820" w:rsidRDefault="00631820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</w:p>
    <w:p w:rsidR="00631820" w:rsidRDefault="00631820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住宿接待单位：北京时代龙马国际会议展览有限公司上海分公司</w:t>
      </w:r>
    </w:p>
    <w:p w:rsidR="00631820" w:rsidRDefault="00631820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地址：上海市徐汇区漕宝路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70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号光大会展中心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C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座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501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室</w:t>
      </w:r>
    </w:p>
    <w:p w:rsidR="00631820" w:rsidRDefault="00631820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电话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18917975693/021-64705398</w:t>
      </w:r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br/>
      </w:r>
      <w:r>
        <w:rPr>
          <w:rFonts w:asciiTheme="majorEastAsia" w:eastAsiaTheme="majorEastAsia" w:hAnsiTheme="majorEastAsia" w:cstheme="majorEastAsia" w:hint="eastAsia"/>
          <w:b/>
          <w:sz w:val="24"/>
        </w:rPr>
        <w:t>邮箱：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huangsaiju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@sdlm.cn </w:t>
      </w:r>
    </w:p>
    <w:p w:rsidR="00631820" w:rsidRDefault="00631820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时代龙马预订官网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:</w:t>
      </w:r>
      <w:hyperlink r:id="rId7" w:history="1">
        <w:r>
          <w:rPr>
            <w:rStyle w:val="a8"/>
            <w:rFonts w:asciiTheme="majorEastAsia" w:eastAsiaTheme="majorEastAsia" w:hAnsiTheme="majorEastAsia" w:cstheme="majorEastAsia" w:hint="eastAsia"/>
            <w:b/>
            <w:sz w:val="24"/>
          </w:rPr>
          <w:t>http://sdlm.cn/Exhibition/Hotel/782</w:t>
        </w:r>
      </w:hyperlink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  <w:r w:rsidRPr="005476AF">
        <w:rPr>
          <w:rFonts w:asciiTheme="majorEastAsia" w:eastAsiaTheme="majorEastAsia" w:hAnsiTheme="majorEastAsia" w:cstheme="majorEastAsia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35_259_6de4c4aa3c7733e4fa68ebe4df5e6309_d293766769c876c3e22301f1e92f18c3" style="width:97.5pt;height:97.5pt;visibility:visible;mso-wrap-style:square">
            <v:imagedata r:id="rId8" o:title="35_259_6de4c4aa3c7733e4fa68ebe4df5e6309_d293766769c876c3e22301f1e92f18c3"/>
          </v:shape>
        </w:pict>
      </w:r>
    </w:p>
    <w:p w:rsidR="00631820" w:rsidRDefault="005476AF">
      <w:pPr>
        <w:spacing w:line="0" w:lineRule="atLeas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预订投诉监督电话：王先生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13585593980/ 021-64705385</w:t>
      </w:r>
    </w:p>
    <w:sectPr w:rsidR="00631820" w:rsidSect="00631820">
      <w:headerReference w:type="default" r:id="rId9"/>
      <w:pgSz w:w="11906" w:h="16838"/>
      <w:pgMar w:top="645" w:right="1133" w:bottom="1117" w:left="1134" w:header="567" w:footer="850" w:gutter="0"/>
      <w:cols w:space="720"/>
      <w:docGrid w:type="lines" w:linePitch="3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AF" w:rsidRDefault="005476AF" w:rsidP="00631820">
      <w:r>
        <w:separator/>
      </w:r>
    </w:p>
  </w:endnote>
  <w:endnote w:type="continuationSeparator" w:id="1">
    <w:p w:rsidR="005476AF" w:rsidRDefault="005476AF" w:rsidP="0063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AF" w:rsidRDefault="005476AF" w:rsidP="00631820">
      <w:r>
        <w:separator/>
      </w:r>
    </w:p>
  </w:footnote>
  <w:footnote w:type="continuationSeparator" w:id="1">
    <w:p w:rsidR="005476AF" w:rsidRDefault="005476AF" w:rsidP="00631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20" w:rsidRDefault="00631820">
    <w:pPr>
      <w:pStyle w:val="a5"/>
      <w:pBdr>
        <w:bottom w:val="single" w:sz="6" w:space="0" w:color="auto"/>
      </w:pBdr>
      <w:spacing w:line="192" w:lineRule="auto"/>
      <w:jc w:val="left"/>
      <w:rPr>
        <w:b/>
        <w:bCs/>
        <w:sz w:val="30"/>
        <w:szCs w:val="30"/>
      </w:rPr>
    </w:pPr>
  </w:p>
  <w:p w:rsidR="00631820" w:rsidRDefault="005476AF">
    <w:pPr>
      <w:pStyle w:val="a5"/>
      <w:pBdr>
        <w:bottom w:val="single" w:sz="6" w:space="0" w:color="auto"/>
      </w:pBdr>
      <w:spacing w:line="192" w:lineRule="auto"/>
      <w:jc w:val="both"/>
      <w:rPr>
        <w:sz w:val="21"/>
        <w:szCs w:val="21"/>
      </w:rPr>
    </w:pP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时间：</w:t>
    </w:r>
    <w:r>
      <w:rPr>
        <w:rFonts w:hint="eastAsia"/>
        <w:sz w:val="21"/>
        <w:szCs w:val="21"/>
      </w:rPr>
      <w:t>20</w:t>
    </w:r>
    <w:r>
      <w:rPr>
        <w:rFonts w:hint="eastAsia"/>
        <w:sz w:val="21"/>
        <w:szCs w:val="21"/>
      </w:rPr>
      <w:t>21</w:t>
    </w:r>
    <w:r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>6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>16</w:t>
    </w:r>
    <w:r>
      <w:rPr>
        <w:rFonts w:hint="eastAsia"/>
        <w:sz w:val="21"/>
        <w:szCs w:val="21"/>
      </w:rPr>
      <w:t>日—</w:t>
    </w:r>
    <w:r>
      <w:rPr>
        <w:rFonts w:hint="eastAsia"/>
        <w:sz w:val="21"/>
        <w:szCs w:val="21"/>
      </w:rPr>
      <w:t>6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>19</w:t>
    </w:r>
    <w:r>
      <w:rPr>
        <w:rFonts w:hint="eastAsia"/>
        <w:sz w:val="21"/>
        <w:szCs w:val="21"/>
      </w:rPr>
      <w:t>日地点：</w:t>
    </w:r>
    <w:r>
      <w:rPr>
        <w:rFonts w:hint="eastAsia"/>
        <w:sz w:val="21"/>
        <w:szCs w:val="21"/>
      </w:rPr>
      <w:t>上海新国际博览中心</w:t>
    </w:r>
  </w:p>
  <w:p w:rsidR="00631820" w:rsidRDefault="00631820">
    <w:pPr>
      <w:pStyle w:val="a5"/>
      <w:pBdr>
        <w:bottom w:val="single" w:sz="6" w:space="0" w:color="auto"/>
      </w:pBdr>
      <w:spacing w:line="192" w:lineRule="auto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420"/>
  <w:drawingGridVerticalSpacing w:val="179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820"/>
    <w:rsid w:val="005476AF"/>
    <w:rsid w:val="00631820"/>
    <w:rsid w:val="00BD54AC"/>
    <w:rsid w:val="00ED1944"/>
    <w:rsid w:val="02617705"/>
    <w:rsid w:val="02F42FF1"/>
    <w:rsid w:val="0309466A"/>
    <w:rsid w:val="032128C4"/>
    <w:rsid w:val="063633E0"/>
    <w:rsid w:val="065640CB"/>
    <w:rsid w:val="0781465F"/>
    <w:rsid w:val="07D86D9B"/>
    <w:rsid w:val="08861ABC"/>
    <w:rsid w:val="0BD52241"/>
    <w:rsid w:val="0F2D5E08"/>
    <w:rsid w:val="11150CDC"/>
    <w:rsid w:val="13C9439C"/>
    <w:rsid w:val="17AD3585"/>
    <w:rsid w:val="186972EA"/>
    <w:rsid w:val="19474153"/>
    <w:rsid w:val="19C4582E"/>
    <w:rsid w:val="19E46381"/>
    <w:rsid w:val="1A17665F"/>
    <w:rsid w:val="1D557D7F"/>
    <w:rsid w:val="1DB36856"/>
    <w:rsid w:val="1DFB1313"/>
    <w:rsid w:val="1FE616F3"/>
    <w:rsid w:val="248F4AAD"/>
    <w:rsid w:val="24DE3699"/>
    <w:rsid w:val="25A2692C"/>
    <w:rsid w:val="27E802C0"/>
    <w:rsid w:val="285463A2"/>
    <w:rsid w:val="29D52837"/>
    <w:rsid w:val="2BAE2FBC"/>
    <w:rsid w:val="2BD1715F"/>
    <w:rsid w:val="2CED47D3"/>
    <w:rsid w:val="2CFB22B9"/>
    <w:rsid w:val="2D477D37"/>
    <w:rsid w:val="2DB1173B"/>
    <w:rsid w:val="2EA879B6"/>
    <w:rsid w:val="3396246B"/>
    <w:rsid w:val="346F119D"/>
    <w:rsid w:val="35AF2D57"/>
    <w:rsid w:val="372E3BE7"/>
    <w:rsid w:val="38E9015C"/>
    <w:rsid w:val="39440806"/>
    <w:rsid w:val="39A81FB3"/>
    <w:rsid w:val="3CD767BE"/>
    <w:rsid w:val="3D5E4748"/>
    <w:rsid w:val="3F7108CF"/>
    <w:rsid w:val="40F44CE8"/>
    <w:rsid w:val="422E4B5F"/>
    <w:rsid w:val="42687AE9"/>
    <w:rsid w:val="43875E32"/>
    <w:rsid w:val="48056167"/>
    <w:rsid w:val="48E27B60"/>
    <w:rsid w:val="4A40414F"/>
    <w:rsid w:val="4AB31B79"/>
    <w:rsid w:val="4BCD3B0A"/>
    <w:rsid w:val="4D4058FC"/>
    <w:rsid w:val="4FCB7E3A"/>
    <w:rsid w:val="4FE510D8"/>
    <w:rsid w:val="51E73325"/>
    <w:rsid w:val="52B225F6"/>
    <w:rsid w:val="57095FF2"/>
    <w:rsid w:val="57B50610"/>
    <w:rsid w:val="5C4F3A52"/>
    <w:rsid w:val="5E9564D9"/>
    <w:rsid w:val="60D40CEB"/>
    <w:rsid w:val="62303F58"/>
    <w:rsid w:val="62B52853"/>
    <w:rsid w:val="62DE1790"/>
    <w:rsid w:val="6DB64095"/>
    <w:rsid w:val="6DDB19DD"/>
    <w:rsid w:val="6E823703"/>
    <w:rsid w:val="6F0B5C5B"/>
    <w:rsid w:val="717F32E2"/>
    <w:rsid w:val="71EB5D05"/>
    <w:rsid w:val="79461738"/>
    <w:rsid w:val="7BB52BF8"/>
    <w:rsid w:val="7D097635"/>
    <w:rsid w:val="7FF4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2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631820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31820"/>
    <w:rPr>
      <w:sz w:val="18"/>
      <w:szCs w:val="18"/>
    </w:rPr>
  </w:style>
  <w:style w:type="paragraph" w:styleId="a4">
    <w:name w:val="footer"/>
    <w:basedOn w:val="a"/>
    <w:qFormat/>
    <w:rsid w:val="0063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3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10"/>
    <w:qFormat/>
    <w:rsid w:val="006318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qFormat/>
    <w:rsid w:val="00631820"/>
    <w:rPr>
      <w:b/>
      <w:bCs/>
    </w:rPr>
  </w:style>
  <w:style w:type="character" w:styleId="a8">
    <w:name w:val="Hyperlink"/>
    <w:uiPriority w:val="99"/>
    <w:unhideWhenUsed/>
    <w:qFormat/>
    <w:rsid w:val="0063182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31820"/>
  </w:style>
  <w:style w:type="paragraph" w:customStyle="1" w:styleId="Style11">
    <w:name w:val="_Style 11"/>
    <w:basedOn w:val="a"/>
    <w:next w:val="a"/>
    <w:qFormat/>
    <w:rsid w:val="0063182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rsid w:val="00631820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dlm.cn/Exhibition/Hotel/7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2005北京国际教育博览会</dc:title>
  <dc:creator>YangBG</dc:creator>
  <cp:lastModifiedBy>暴</cp:lastModifiedBy>
  <cp:revision>3</cp:revision>
  <cp:lastPrinted>2019-11-12T06:37:00Z</cp:lastPrinted>
  <dcterms:created xsi:type="dcterms:W3CDTF">2017-02-10T06:53:00Z</dcterms:created>
  <dcterms:modified xsi:type="dcterms:W3CDTF">2021-01-07T01:54:00Z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